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392" w:type="dxa"/>
        <w:jc w:val="center"/>
        <w:tblInd w:w="0" w:type="dxa"/>
        <w:tblLayout w:type="fixed"/>
        <w:tblCellMar>
          <w:top w:w="28" w:type="dxa"/>
          <w:left w:w="28" w:type="dxa"/>
          <w:bottom w:w="28" w:type="dxa"/>
          <w:right w:w="28" w:type="dxa"/>
        </w:tblCellMar>
      </w:tblPr>
      <w:tblGrid>
        <w:gridCol w:w="217"/>
        <w:gridCol w:w="191"/>
        <w:gridCol w:w="193"/>
        <w:gridCol w:w="109"/>
        <w:gridCol w:w="109"/>
        <w:gridCol w:w="109"/>
        <w:gridCol w:w="136"/>
        <w:gridCol w:w="136"/>
        <w:gridCol w:w="192"/>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8-K</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pPr>
      <w:r>
        <w:rPr>
          <w:rFonts w:ascii="Times New Roman;serif" w:hAnsi="Times New Roman;serif"/>
          <w:b/>
          <w:color w:val="000000"/>
          <w:sz w:val="20"/>
        </w:rPr>
        <w:t>PURSUANT TO SECTION</w:t>
      </w:r>
      <w:r>
        <w:rPr>
          <w:color w:val="000000"/>
        </w:rPr>
        <w:t xml:space="preserve"> </w:t>
      </w:r>
      <w:r>
        <w:rPr>
          <w:rFonts w:ascii="Times New Roman;serif" w:hAnsi="Times New Roman;serif"/>
          <w:b/>
          <w:color w:val="000000"/>
          <w:sz w:val="20"/>
        </w:rPr>
        <w:t>13 OR 15(D) OF THE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120" w:after="283"/>
        <w:jc w:val="center"/>
        <w:rPr/>
      </w:pPr>
      <w:r>
        <w:rPr/>
        <w:drawing>
          <wp:inline distT="0" distB="0" distL="0" distR="0">
            <wp:extent cx="5429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2925" cy="5524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June 3, 2026</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NEXTDECADE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10205" w:type="dxa"/>
        <w:jc w:val="center"/>
        <w:tblInd w:w="0" w:type="dxa"/>
        <w:tblLayout w:type="fixed"/>
        <w:tblCellMar>
          <w:top w:w="28" w:type="dxa"/>
          <w:left w:w="28" w:type="dxa"/>
          <w:bottom w:w="28" w:type="dxa"/>
          <w:right w:w="28" w:type="dxa"/>
        </w:tblCellMar>
      </w:tblPr>
      <w:tblGrid>
        <w:gridCol w:w="1778"/>
        <w:gridCol w:w="1562"/>
        <w:gridCol w:w="1577"/>
        <w:gridCol w:w="757"/>
        <w:gridCol w:w="757"/>
        <w:gridCol w:w="765"/>
        <w:gridCol w:w="877"/>
        <w:gridCol w:w="877"/>
        <w:gridCol w:w="1255"/>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001-36842</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46-5723951</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1000 Louisiana Street, Suite 3300</w:t>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Houston, Texas</w:t>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77002</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40" w:before="2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(713) 574-1880</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 4(c))</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66" w:type="dxa"/>
        <w:jc w:val="left"/>
        <w:tblInd w:w="0" w:type="dxa"/>
        <w:tblLayout w:type="fixed"/>
        <w:tblCellMar>
          <w:top w:w="28" w:type="dxa"/>
          <w:left w:w="28" w:type="dxa"/>
          <w:bottom w:w="28" w:type="dxa"/>
          <w:right w:w="28" w:type="dxa"/>
        </w:tblCellMar>
      </w:tblPr>
      <w:tblGrid>
        <w:gridCol w:w="1060"/>
        <w:gridCol w:w="932"/>
        <w:gridCol w:w="947"/>
        <w:gridCol w:w="109"/>
        <w:gridCol w:w="109"/>
        <w:gridCol w:w="109"/>
        <w:gridCol w:w="499"/>
        <w:gridCol w:w="499"/>
        <w:gridCol w:w="501"/>
        <w:gridCol w:w="109"/>
        <w:gridCol w:w="109"/>
        <w:gridCol w:w="109"/>
        <w:gridCol w:w="1161"/>
        <w:gridCol w:w="1161"/>
        <w:gridCol w:w="1652"/>
      </w:tblGrid>
      <w:tr>
        <w:trPr/>
        <w:tc>
          <w:tcPr>
            <w:tcW w:w="106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6" w:before="0" w:after="0"/>
              <w:ind w:left="0" w:right="0" w:hanging="160"/>
              <w:jc w:val="center"/>
              <w:rPr/>
            </w:pPr>
            <w:r>
              <w:rPr>
                <w:rFonts w:ascii="Times New Roman;serif" w:hAnsi="Times New Roman;serif"/>
                <w:b/>
                <w:color w:val="000000"/>
                <w:sz w:val="20"/>
              </w:rPr>
              <w:t>Title</w:t>
            </w:r>
            <w:r>
              <w:rPr>
                <w:color w:val="000000"/>
              </w:rPr>
              <w:t xml:space="preserve"> </w:t>
            </w:r>
            <w:r>
              <w:rPr>
                <w:rFonts w:ascii="Times New Roman;serif" w:hAnsi="Times New Roman;serif"/>
                <w:b/>
                <w:color w:val="000000"/>
                <w:sz w:val="20"/>
              </w:rPr>
              <w:t>of</w:t>
            </w:r>
            <w:r>
              <w:rPr>
                <w:color w:val="000000"/>
              </w:rPr>
              <w:t xml:space="preserve"> </w:t>
            </w:r>
            <w:r>
              <w:rPr>
                <w:rFonts w:ascii="Times New Roman;serif" w:hAnsi="Times New Roman;serif"/>
                <w:b/>
                <w:color w:val="000000"/>
                <w:sz w:val="20"/>
              </w:rPr>
              <w:t>each</w:t>
            </w:r>
            <w:r>
              <w:rPr>
                <w:color w:val="000000"/>
              </w:rPr>
              <w:t xml:space="preserve"> </w:t>
            </w:r>
            <w:r>
              <w:rPr>
                <w:rFonts w:ascii="Times New Roman;serif" w:hAnsi="Times New Roman;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Name</w:t>
            </w:r>
            <w:r>
              <w:rPr>
                <w:color w:val="000000"/>
              </w:rPr>
              <w:t xml:space="preserve"> </w:t>
            </w:r>
            <w:r>
              <w:rPr>
                <w:rFonts w:ascii="Times New Roman;serif" w:hAnsi="Times New Roman;serif"/>
                <w:b/>
                <w:color w:val="000000"/>
                <w:sz w:val="20"/>
              </w:rPr>
              <w:t>of</w:t>
            </w:r>
            <w:r>
              <w:rPr>
                <w:color w:val="000000"/>
              </w:rPr>
              <w:t xml:space="preserve"> </w:t>
            </w:r>
            <w:r>
              <w:rPr>
                <w:rFonts w:ascii="Times New Roman;serif" w:hAnsi="Times New Roman;serif"/>
                <w:b/>
                <w:color w:val="000000"/>
                <w:sz w:val="20"/>
              </w:rPr>
              <w:t>each</w:t>
            </w:r>
            <w:r>
              <w:rPr>
                <w:color w:val="000000"/>
              </w:rPr>
              <w:t xml:space="preserve"> </w:t>
            </w:r>
            <w:r>
              <w:rPr>
                <w:rFonts w:ascii="Times New Roman;serif" w:hAnsi="Times New Roman;serif"/>
                <w:b/>
                <w:color w:val="000000"/>
                <w:sz w:val="20"/>
              </w:rPr>
              <w:t>exchange</w:t>
            </w:r>
            <w:r>
              <w:rPr>
                <w:color w:val="000000"/>
              </w:rPr>
              <w:t xml:space="preserve"> </w:t>
            </w:r>
            <w:r>
              <w:rPr>
                <w:rFonts w:ascii="Times New Roman;serif" w:hAnsi="Times New Roman;serif"/>
                <w:b/>
                <w:color w:val="000000"/>
                <w:sz w:val="20"/>
              </w:rPr>
              <w:t>on</w:t>
            </w:r>
            <w:r>
              <w:rPr>
                <w:color w:val="000000"/>
              </w:rPr>
              <w:t xml:space="preserve"> </w:t>
            </w:r>
            <w:r>
              <w:rPr>
                <w:rFonts w:ascii="Times New Roman;serif" w:hAnsi="Times New Roman;serif"/>
                <w:b/>
                <w:color w:val="000000"/>
                <w:sz w:val="20"/>
              </w:rPr>
              <w:t>which</w:t>
            </w:r>
            <w:r>
              <w:rPr>
                <w:color w:val="000000"/>
              </w:rPr>
              <w:t xml:space="preserve"> </w:t>
            </w:r>
            <w:r>
              <w:rPr>
                <w:rFonts w:ascii="Times New Roman;serif" w:hAnsi="Times New Roman;serif"/>
                <w:b/>
                <w:color w:val="000000"/>
                <w:sz w:val="20"/>
              </w:rPr>
              <w:t>registered:</w:t>
            </w:r>
          </w:p>
        </w:tc>
      </w:tr>
      <w:tr>
        <w:trPr/>
        <w:tc>
          <w:tcPr>
            <w:tcW w:w="29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NEXT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both"/>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Appointment of Chief Financial Officer</w:t>
      </w:r>
    </w:p>
    <w:p>
      <w:pPr>
        <w:pStyle w:val="TextBody"/>
        <w:bidi w:val="0"/>
        <w:spacing w:before="0" w:after="0"/>
        <w:jc w:val="left"/>
        <w:rPr/>
      </w:pPr>
      <w:r>
        <w:rPr/>
      </w:r>
    </w:p>
    <w:p>
      <w:pPr>
        <w:pStyle w:val="TextBody"/>
        <w:bidi w:val="0"/>
        <w:spacing w:lineRule="auto" w:line="268" w:before="0" w:after="240"/>
        <w:ind w:left="0" w:right="0" w:firstLine="720"/>
        <w:jc w:val="both"/>
        <w:rPr/>
      </w:pPr>
      <w:r>
        <w:rPr>
          <w:rFonts w:ascii="Times New Roman;serif" w:hAnsi="Times New Roman;serif"/>
          <w:b w:val="false"/>
          <w:color w:val="000000"/>
          <w:sz w:val="20"/>
        </w:rPr>
        <w:t>On June 3, 2026, NextDecade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announced the appointment of John Zuklic as the Chief Financial Officer of the Company, effective July 6, 2026.</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Zuklic, age 59, brings significant expertise after more than 30 years in the energy industry, including senior finance roles in capital-intensive businesses. His experience includes financial strategy, capital structuring, treasury, corporate finance, stakeholder engagement, building and transforming organizations, and strengthening governance and risk oversight.</w:t>
      </w:r>
    </w:p>
    <w:p>
      <w:pPr>
        <w:pStyle w:val="TextBody"/>
        <w:bidi w:val="0"/>
        <w:spacing w:lineRule="auto" w:line="268" w:before="0" w:after="240"/>
        <w:ind w:left="0" w:right="0" w:firstLine="720"/>
        <w:jc w:val="both"/>
        <w:rPr/>
      </w:pPr>
      <w:r>
        <w:rPr>
          <w:rFonts w:ascii="Times New Roman;serif" w:hAnsi="Times New Roman;serif"/>
          <w:b w:val="false"/>
          <w:color w:val="000000"/>
          <w:sz w:val="20"/>
        </w:rPr>
        <w:t>Mr. Zuklic joins the Company from Citgo Petroleum Corporation (“</w:t>
      </w:r>
      <w:r>
        <w:rPr>
          <w:rFonts w:ascii="Times New Roman;serif" w:hAnsi="Times New Roman;serif"/>
          <w:b w:val="false"/>
          <w:color w:val="000000"/>
          <w:sz w:val="20"/>
          <w:u w:val="single"/>
        </w:rPr>
        <w:t>CITGO</w:t>
      </w:r>
      <w:r>
        <w:rPr>
          <w:color w:val="000000"/>
        </w:rPr>
        <w:t>”</w:t>
      </w:r>
      <w:r>
        <w:rPr>
          <w:rFonts w:ascii="Times New Roman;serif" w:hAnsi="Times New Roman;serif"/>
          <w:b w:val="false"/>
          <w:color w:val="000000"/>
          <w:sz w:val="20"/>
        </w:rPr>
        <w:t>), where he held the position of Vice President and Chief Financial Officer since 2020. At CITGO, he led the finance organization and was responsible for setting and executing financial strategy, recapitalizing the company, and building functions to strengthen forecasting, governance, and decision support. Before his tenure at CITGO, Zuklic spent much of his career at Phillips 66 and its predecessor, ConocoPhillips. During his time at these companies, he progressed through various roles of increasing scope across treasury, corporate finance, risk management, and enterprise transformation. Following the spinoff of Phillips 66 from ConocoPhillips, Zuklic served as Vice President and Treasurer, leading global treasury operations, managing substantial investment and insurance portfolios, and executing enterprise-wide financing initiatives. Later, he served as Vice President of ERP Transformation, where he oversaw the implementation of a next-generation enterprise resource planning system. Mr. Zuklic holds a Master’s degree in Business Administration from the University of Texas and a Bachelor of Science degree in Mechanical Engineering from the Colorado School of Mines.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his appointment as Chief Financial Officer of the Company, Mr. Zuklic’s compensation package includes: (1) an annual base salary of $600,000; (2) eligibility for an annual discretionary bonus with a target of 100% of his annual base salary; and (3) an annual long-term incentive award with a value of $2,100,000 under the Company’s 2017 Omnibus Incentive Plan, as amended, which award may be subject to any performance criteria established by the Compensation Committee of the Board of Directors of the Company at the time of grant. There is no written employment agreement with Mr. Zuklic and his employment is “at will.”</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appointment of Mr. Zuklic to serve as Chief Financial Officer of the Company was not made pursuant to any arrangement or understanding with respect to any other person. In addition, there are no family relationships between Mr. Zuklic and any director or other executive officer of the Company. Mr. Zuklic has no direct or indirect material interest in any transactions required to be disclosed pursuant to Item 404(a) of Regulation S-K.</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Amendment to Omnibus Incentive Compensation Plan</w:t>
      </w:r>
    </w:p>
    <w:p>
      <w:pPr>
        <w:pStyle w:val="TextBody"/>
        <w:bidi w:val="0"/>
        <w:spacing w:lineRule="auto" w:line="276" w:before="0" w:after="0"/>
        <w:ind w:left="0" w:right="0" w:firstLine="720"/>
        <w:jc w:val="both"/>
        <w:rPr/>
      </w:pPr>
      <w:r>
        <w:rPr>
          <w:rFonts w:ascii="Times New Roman;serif" w:hAnsi="Times New Roman;serif"/>
          <w:b w:val="false"/>
          <w:color w:val="000000"/>
          <w:sz w:val="20"/>
        </w:rPr>
        <w:t>As discussed in Item 5.07 below, on June 3, 2026, the stockholders of the Company approved an amendment (the “</w:t>
      </w:r>
      <w:r>
        <w:rPr>
          <w:rFonts w:ascii="Times New Roman;serif" w:hAnsi="Times New Roman;serif"/>
          <w:b w:val="false"/>
          <w:color w:val="000000"/>
          <w:sz w:val="20"/>
          <w:u w:val="single"/>
        </w:rPr>
        <w:t>Amendment</w:t>
      </w:r>
      <w:r>
        <w:rPr>
          <w:color w:val="000000"/>
        </w:rPr>
        <w:t>”</w:t>
      </w:r>
      <w:r>
        <w:rPr>
          <w:rFonts w:ascii="Times New Roman;serif" w:hAnsi="Times New Roman;serif"/>
          <w:b w:val="false"/>
          <w:color w:val="000000"/>
          <w:sz w:val="20"/>
        </w:rPr>
        <w:t>) to the Company's 2017 Omnibus Incentive Compensation Plan to increase the maximum number of shares available under such plan by an additional five million shares. A copy of the Amendment is filed as Exhibit 10.1 to this Current Report on Form 8-K and is incorporated in this Item 5.02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On June 3, 2026, the Company held its 2026 Annual Meeting of Stockholders (the “</w:t>
      </w:r>
      <w:r>
        <w:rPr>
          <w:rFonts w:ascii="Times New Roman;serif" w:hAnsi="Times New Roman;serif"/>
          <w:b w:val="false"/>
          <w:color w:val="000000"/>
          <w:sz w:val="20"/>
          <w:u w:val="single"/>
        </w:rPr>
        <w:t>Annual Meeting</w:t>
      </w:r>
      <w:r>
        <w:rPr>
          <w:color w:val="000000"/>
        </w:rPr>
        <w:t>”</w:t>
      </w:r>
      <w:r>
        <w:rPr>
          <w:rFonts w:ascii="Times New Roman;serif" w:hAnsi="Times New Roman;serif"/>
          <w:b w:val="false"/>
          <w:color w:val="000000"/>
          <w:sz w:val="20"/>
        </w:rPr>
        <w:t>). The matters voted upon and the results of the voting at the Annual Meeting were as follows: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erif" w:hAnsi="Times New Roman;serif"/>
          <w:b/>
          <w:i/>
          <w:color w:val="000000"/>
          <w:sz w:val="20"/>
        </w:rPr>
        <w:t>Proposal 1</w:t>
      </w:r>
      <w:r>
        <w:rPr>
          <w:rFonts w:ascii="Times New Roman;serif" w:hAnsi="Times New Roman;serif"/>
          <w:b w:val="false"/>
          <w:color w:val="000000"/>
          <w:sz w:val="20"/>
        </w:rPr>
        <w:t>: The election of two Class B directors to serve on the Company’s board of directors for terms until the 2028 Annual Meeting of Stockholders or until their successors are duly elected and qualified or until the earlier of their death, resignation or removal and four Class C directors to serve on the Company’s board of directors for a term until the 2029 Annual Meeting of Stockholders or until their successors are duly elected and qualified or until the earlier of their death, resignation or removal.</w:t>
      </w:r>
    </w:p>
    <w:p>
      <w:pPr>
        <w:pStyle w:val="TextBody"/>
        <w:bidi w:val="0"/>
        <w:spacing w:before="0" w:after="0"/>
        <w:ind w:left="0" w:right="0" w:firstLine="720"/>
        <w:jc w:val="both"/>
        <w:rPr/>
      </w:pPr>
      <w:r>
        <w:rPr/>
      </w:r>
    </w:p>
    <w:tbl>
      <w:tblPr>
        <w:tblW w:w="8147" w:type="dxa"/>
        <w:jc w:val="left"/>
        <w:tblInd w:w="0" w:type="dxa"/>
        <w:tblLayout w:type="fixed"/>
        <w:tblCellMar>
          <w:top w:w="28" w:type="dxa"/>
          <w:left w:w="28" w:type="dxa"/>
          <w:bottom w:w="28" w:type="dxa"/>
          <w:right w:w="28" w:type="dxa"/>
        </w:tblCellMar>
      </w:tblPr>
      <w:tblGrid>
        <w:gridCol w:w="1177"/>
        <w:gridCol w:w="1035"/>
        <w:gridCol w:w="1042"/>
        <w:gridCol w:w="379"/>
        <w:gridCol w:w="379"/>
        <w:gridCol w:w="383"/>
        <w:gridCol w:w="344"/>
        <w:gridCol w:w="344"/>
        <w:gridCol w:w="348"/>
        <w:gridCol w:w="343"/>
        <w:gridCol w:w="343"/>
        <w:gridCol w:w="350"/>
        <w:gridCol w:w="492"/>
        <w:gridCol w:w="492"/>
        <w:gridCol w:w="696"/>
      </w:tblGrid>
      <w:tr>
        <w:trPr/>
        <w:tc>
          <w:tcPr>
            <w:tcW w:w="117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Director Nominee</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For</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Against</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Broker Non-Votes</w:t>
            </w:r>
          </w:p>
        </w:tc>
      </w:tr>
      <w:tr>
        <w:trPr/>
        <w:tc>
          <w:tcPr>
            <w:tcW w:w="32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Pamela Beall - Class B director</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168,472,855</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22,494,429</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6,967,190</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33,166,278</w:t>
            </w:r>
          </w:p>
        </w:tc>
      </w:tr>
      <w:tr>
        <w:trPr/>
        <w:tc>
          <w:tcPr>
            <w:tcW w:w="32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 Kyu Park - Class B director</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190,687,163</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264,256</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6,983,055</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33,166,278</w:t>
            </w:r>
          </w:p>
        </w:tc>
      </w:tr>
      <w:tr>
        <w:trPr/>
        <w:tc>
          <w:tcPr>
            <w:tcW w:w="32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Bonanno - Class C director</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145,611,322</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449,300</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51,873,852</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33,166,278</w:t>
            </w:r>
          </w:p>
        </w:tc>
      </w:tr>
      <w:tr>
        <w:trPr/>
        <w:tc>
          <w:tcPr>
            <w:tcW w:w="32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Charles Q. Brown, Jr. - Class C director</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190,715,031</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251,841</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6,967,602</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33,166,278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814" w:type="dxa"/>
        <w:jc w:val="left"/>
        <w:tblInd w:w="0" w:type="dxa"/>
        <w:tblLayout w:type="fixed"/>
        <w:tblCellMar>
          <w:top w:w="28" w:type="dxa"/>
          <w:left w:w="28" w:type="dxa"/>
          <w:bottom w:w="28" w:type="dxa"/>
          <w:right w:w="28" w:type="dxa"/>
        </w:tblCellMar>
      </w:tblPr>
      <w:tblGrid>
        <w:gridCol w:w="951"/>
        <w:gridCol w:w="835"/>
        <w:gridCol w:w="839"/>
        <w:gridCol w:w="380"/>
        <w:gridCol w:w="380"/>
        <w:gridCol w:w="381"/>
        <w:gridCol w:w="345"/>
        <w:gridCol w:w="345"/>
        <w:gridCol w:w="346"/>
        <w:gridCol w:w="310"/>
        <w:gridCol w:w="310"/>
        <w:gridCol w:w="311"/>
        <w:gridCol w:w="316"/>
        <w:gridCol w:w="316"/>
        <w:gridCol w:w="449"/>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Diana Sands - Class C director</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168,394,731</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22,579,896</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6,959,847</w:t>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33,166,278</w:t>
            </w:r>
          </w:p>
        </w:tc>
      </w:tr>
      <w:tr>
        <w:trPr/>
        <w:tc>
          <w:tcPr>
            <w:tcW w:w="26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David Stover - Class C director</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190,747,334</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210,137</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6,977,003</w:t>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33,166,278</w:t>
            </w:r>
          </w:p>
        </w:tc>
      </w:tr>
    </w:tbl>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i/>
          <w:color w:val="000000"/>
          <w:sz w:val="20"/>
        </w:rPr>
        <w:t>Proposal 2</w:t>
      </w:r>
      <w:r>
        <w:rPr>
          <w:rFonts w:ascii="Times New Roman;serif" w:hAnsi="Times New Roman;serif"/>
          <w:b w:val="false"/>
          <w:color w:val="000000"/>
          <w:sz w:val="20"/>
        </w:rPr>
        <w:t>: Approval of an amendment to the NextDecade Corporation 2017 Omnibus Incentive Plan to increase the maximum number of shares available under such plan.</w:t>
      </w:r>
    </w:p>
    <w:tbl>
      <w:tblPr>
        <w:tblW w:w="4623" w:type="dxa"/>
        <w:jc w:val="left"/>
        <w:tblInd w:w="0" w:type="dxa"/>
        <w:tblLayout w:type="fixed"/>
        <w:tblCellMar>
          <w:top w:w="28" w:type="dxa"/>
          <w:left w:w="28" w:type="dxa"/>
          <w:bottom w:w="28" w:type="dxa"/>
          <w:right w:w="28" w:type="dxa"/>
        </w:tblCellMar>
      </w:tblPr>
      <w:tblGrid>
        <w:gridCol w:w="418"/>
        <w:gridCol w:w="365"/>
        <w:gridCol w:w="373"/>
        <w:gridCol w:w="344"/>
        <w:gridCol w:w="344"/>
        <w:gridCol w:w="348"/>
        <w:gridCol w:w="250"/>
        <w:gridCol w:w="250"/>
        <w:gridCol w:w="251"/>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For</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Against</w:t>
            </w:r>
          </w:p>
        </w:tc>
        <w:tc>
          <w:tcPr>
            <w:tcW w:w="75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170,907,255</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26,937,601</w:t>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89,618</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33,166,278</w:t>
            </w:r>
          </w:p>
        </w:tc>
      </w:tr>
    </w:tbl>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i/>
          <w:color w:val="000000"/>
          <w:sz w:val="20"/>
        </w:rPr>
        <w:t>Proposal 3</w:t>
      </w:r>
      <w:r>
        <w:rPr>
          <w:rFonts w:ascii="Times New Roman;serif" w:hAnsi="Times New Roman;serif"/>
          <w:b w:val="false"/>
          <w:color w:val="000000"/>
          <w:sz w:val="20"/>
        </w:rPr>
        <w:t>: Advisory vote on the compensation of the Company’s named executive officers.</w:t>
      </w:r>
    </w:p>
    <w:tbl>
      <w:tblPr>
        <w:tblW w:w="4653" w:type="dxa"/>
        <w:jc w:val="left"/>
        <w:tblInd w:w="0" w:type="dxa"/>
        <w:tblLayout w:type="fixed"/>
        <w:tblCellMar>
          <w:top w:w="28" w:type="dxa"/>
          <w:left w:w="28" w:type="dxa"/>
          <w:bottom w:w="28" w:type="dxa"/>
          <w:right w:w="28" w:type="dxa"/>
        </w:tblCellMar>
      </w:tblPr>
      <w:tblGrid>
        <w:gridCol w:w="418"/>
        <w:gridCol w:w="365"/>
        <w:gridCol w:w="373"/>
        <w:gridCol w:w="344"/>
        <w:gridCol w:w="344"/>
        <w:gridCol w:w="348"/>
        <w:gridCol w:w="259"/>
        <w:gridCol w:w="259"/>
        <w:gridCol w:w="263"/>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For</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Against</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164,777,795</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32,970,500</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186,179</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33,166,278</w:t>
            </w:r>
          </w:p>
        </w:tc>
      </w:tr>
    </w:tbl>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i/>
          <w:color w:val="000000"/>
          <w:sz w:val="20"/>
        </w:rPr>
        <w:t>Proposal 4</w:t>
      </w:r>
      <w:r>
        <w:rPr>
          <w:rFonts w:ascii="Times New Roman;serif" w:hAnsi="Times New Roman;serif"/>
          <w:b w:val="false"/>
          <w:color w:val="000000"/>
          <w:sz w:val="20"/>
        </w:rPr>
        <w:t>: Ratification of the appointment of KPMG LLP as the Company’s independent registered public accountants and auditors for the fiscal year ending December 31, 2026.</w:t>
      </w:r>
    </w:p>
    <w:tbl>
      <w:tblPr>
        <w:tblW w:w="4398" w:type="dxa"/>
        <w:jc w:val="left"/>
        <w:tblInd w:w="0" w:type="dxa"/>
        <w:tblLayout w:type="fixed"/>
        <w:tblCellMar>
          <w:top w:w="28" w:type="dxa"/>
          <w:left w:w="28" w:type="dxa"/>
          <w:bottom w:w="28" w:type="dxa"/>
          <w:right w:w="28" w:type="dxa"/>
        </w:tblCellMar>
      </w:tblPr>
      <w:tblGrid>
        <w:gridCol w:w="418"/>
        <w:gridCol w:w="365"/>
        <w:gridCol w:w="373"/>
        <w:gridCol w:w="259"/>
        <w:gridCol w:w="259"/>
        <w:gridCol w:w="263"/>
        <w:gridCol w:w="259"/>
        <w:gridCol w:w="259"/>
        <w:gridCol w:w="263"/>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For</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Against</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230,582,163</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402,897</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115,692</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12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890" w:type="dxa"/>
        <w:jc w:val="left"/>
        <w:tblInd w:w="0" w:type="dxa"/>
        <w:tblLayout w:type="fixed"/>
        <w:tblCellMar>
          <w:top w:w="28" w:type="dxa"/>
          <w:left w:w="28" w:type="dxa"/>
          <w:bottom w:w="28" w:type="dxa"/>
          <w:right w:w="28" w:type="dxa"/>
        </w:tblCellMar>
      </w:tblPr>
      <w:tblGrid>
        <w:gridCol w:w="174"/>
        <w:gridCol w:w="153"/>
        <w:gridCol w:w="154"/>
        <w:gridCol w:w="2168"/>
        <w:gridCol w:w="2168"/>
        <w:gridCol w:w="307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exhibit1012026.htm">
              <w:r>
                <w:rPr>
                  <w:rStyle w:val="InternetLink"/>
                  <w:rFonts w:ascii="Times New Roman;serif" w:hAnsi="Times New Roman;serif"/>
                  <w:b w:val="false"/>
                  <w:color w:val="0000FF"/>
                  <w:sz w:val="20"/>
                  <w:u w:val="single"/>
                </w:rPr>
                <w:t>10.1</w:t>
              </w:r>
            </w:hyperlink>
          </w:p>
        </w:tc>
        <w:tc>
          <w:tcPr>
            <w:tcW w:w="74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12026.htm">
              <w:r>
                <w:rPr>
                  <w:rStyle w:val="InternetLink"/>
                  <w:rFonts w:ascii="Times New Roman;serif" w:hAnsi="Times New Roman;serif"/>
                  <w:b w:val="false"/>
                  <w:color w:val="0000FF"/>
                  <w:sz w:val="20"/>
                  <w:u w:val="single"/>
                </w:rPr>
                <w:t>Amendment of the NextDecade Corporation 2017 Omnibus Incentive Compensation Plan</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74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Dated: June 3, 2026</w:t>
      </w:r>
    </w:p>
    <w:tbl>
      <w:tblPr>
        <w:tblW w:w="4064" w:type="dxa"/>
        <w:jc w:val="left"/>
        <w:tblInd w:w="0" w:type="dxa"/>
        <w:tblLayout w:type="fixed"/>
        <w:tblCellMar>
          <w:top w:w="28" w:type="dxa"/>
          <w:left w:w="28" w:type="dxa"/>
          <w:bottom w:w="28" w:type="dxa"/>
          <w:right w:w="28" w:type="dxa"/>
        </w:tblCellMar>
      </w:tblPr>
      <w:tblGrid>
        <w:gridCol w:w="124"/>
        <w:gridCol w:w="109"/>
        <w:gridCol w:w="109"/>
        <w:gridCol w:w="467"/>
        <w:gridCol w:w="467"/>
        <w:gridCol w:w="467"/>
        <w:gridCol w:w="649"/>
        <w:gridCol w:w="649"/>
        <w:gridCol w:w="6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NEXTDECADE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Vera de Gyarfas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Vera de Gyarfas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EQUITY PLAN AMENDMENT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AMENDMENT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NEXTDECADE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2017 OMNIBUS INCENTIVE PLAN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This Amendment (“</w:t>
      </w:r>
      <w:r>
        <w:rPr>
          <w:rFonts w:ascii="Times New Roman;serif" w:hAnsi="Times New Roman;serif"/>
          <w:b/>
          <w:color w:val="000000"/>
          <w:sz w:val="20"/>
        </w:rPr>
        <w:t>Amendment</w:t>
      </w:r>
      <w:r>
        <w:rPr>
          <w:color w:val="000000"/>
        </w:rPr>
        <w:t>”</w:t>
      </w:r>
      <w:r>
        <w:rPr>
          <w:rFonts w:ascii="Times New Roman;serif" w:hAnsi="Times New Roman;serif"/>
          <w:b w:val="false"/>
          <w:color w:val="000000"/>
          <w:sz w:val="20"/>
        </w:rPr>
        <w:t>) of the 2017 Omnibus Incentive Plan, as amended from time to time (the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 of NextDecade Corporation, a Delaware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is adopted by the Company on April 13, 2026, subject to approval by the Company’s stockholders (the “</w:t>
      </w:r>
      <w:r>
        <w:rPr>
          <w:rFonts w:ascii="Times New Roman;serif" w:hAnsi="Times New Roman;serif"/>
          <w:b/>
          <w:color w:val="000000"/>
          <w:sz w:val="20"/>
        </w:rPr>
        <w:t>Stockholders</w:t>
      </w:r>
      <w:r>
        <w:rPr>
          <w:color w:val="000000"/>
        </w:rPr>
        <w:t>”</w:t>
      </w:r>
      <w:r>
        <w:rPr>
          <w:rFonts w:ascii="Times New Roman;serif" w:hAnsi="Times New Roman;serif"/>
          <w:b w:val="false"/>
          <w:color w:val="000000"/>
          <w:sz w:val="20"/>
        </w:rPr>
        <w: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WHEREAS, the Company maintains the Plan;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WHEREAS, under Section 16.2 of the Plan, the Company’s Board of Directors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may amend the Plan at any time, contingent on approval of the Stockholders, to the extent the Board deems necessary.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WHEREAS, upon the recommendation of the Compensation Committee of the Board of Directors, the Board has determined that it is in the best interests of the Company to increase the authorized number of shares available for issuance under the Plan.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NOW, THEREFORE, the Plan is hereby amended as follows, subject to approval of the Stockholders:</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1.Section 4.1 of the Plan is deleted in its entirety and replaced with the following:</w:t>
      </w:r>
    </w:p>
    <w:p>
      <w:pPr>
        <w:pStyle w:val="TextBody"/>
        <w:bidi w:val="0"/>
        <w:spacing w:lineRule="auto" w:line="288" w:before="240" w:after="283"/>
        <w:jc w:val="both"/>
        <w:rPr/>
      </w:pPr>
      <w:r>
        <w:rPr>
          <w:color w:val="000000"/>
        </w:rPr>
        <w:t>“</w:t>
      </w:r>
      <w:r>
        <w:rPr>
          <w:rFonts w:ascii="Times New Roman;serif" w:hAnsi="Times New Roman;serif"/>
          <w:b w:val="false"/>
          <w:i/>
          <w:color w:val="000000"/>
          <w:sz w:val="20"/>
        </w:rPr>
        <w:t>4.1</w:t>
      </w:r>
      <w:r>
        <w:rPr>
          <w:color w:val="000000"/>
        </w:rPr>
        <w:t xml:space="preserve"> </w:t>
      </w:r>
      <w:r>
        <w:rPr>
          <w:rFonts w:ascii="Times New Roman;serif" w:hAnsi="Times New Roman;serif"/>
          <w:b w:val="false"/>
          <w:i/>
          <w:color w:val="000000"/>
          <w:sz w:val="20"/>
        </w:rPr>
        <w:t>Number of Shares Reserved</w:t>
      </w:r>
      <w:r>
        <w:rPr>
          <w:rFonts w:ascii="Times New Roman;serif" w:hAnsi="Times New Roman;serif"/>
          <w:b w:val="false"/>
          <w:color w:val="000000"/>
          <w:sz w:val="20"/>
        </w:rPr>
        <w:t>. Subject to adjustment as provided in Section 4.5 hereof, the total number of Shares of Common Stock that are reserved for issuance under the Plan (the “</w:t>
      </w:r>
      <w:r>
        <w:rPr>
          <w:rFonts w:ascii="Times New Roman;serif" w:hAnsi="Times New Roman;serif"/>
          <w:b w:val="false"/>
          <w:i/>
          <w:color w:val="000000"/>
          <w:sz w:val="20"/>
        </w:rPr>
        <w:t>Share Reserve</w:t>
      </w:r>
      <w:r>
        <w:rPr>
          <w:color w:val="000000"/>
        </w:rPr>
        <w:t>”</w:t>
      </w:r>
      <w:r>
        <w:rPr>
          <w:rFonts w:ascii="Times New Roman;serif" w:hAnsi="Times New Roman;serif"/>
          <w:b w:val="false"/>
          <w:color w:val="000000"/>
          <w:sz w:val="20"/>
        </w:rPr>
        <w:t xml:space="preserve">) shall equal (a) 34,262,461 shares of Common Stock, plus (b) effective April 16, 2025 (subject to stockholder approval), 5,000,000. All such sum of shares may be issued as Incentive Stock Options. Each share of Common Stock subject to an Award shall reduce the Share Reserve by one share;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Awards that are required to be paid in cash pursuant to their terms shall not reduce the Share Reserve. Any shares of Common Stock delivered under the Plan shall consist of authorized and unissued shares or treasury shares.” </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2.The Plan, as amended hereby, and all other documents, instruments, and agreements executed or delivered in connection therewith, shall remain in full force and effect, and are hereby ratified and confirmed.</w:t>
      </w:r>
    </w:p>
    <w:p>
      <w:pPr>
        <w:pStyle w:val="TextBody"/>
        <w:bidi w:val="0"/>
        <w:spacing w:lineRule="auto" w:line="288" w:before="24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follows.</w:t>
      </w:r>
      <w:r>
        <w:rPr>
          <w:rFonts w:ascii="Times New Roman;serif" w:hAnsi="Times New Roman;serif"/>
          <w:b w:val="false"/>
          <w:color w:val="000000"/>
          <w:sz w:val="20"/>
        </w:rPr>
        <w:t>]</w:t>
      </w:r>
    </w:p>
    <w:p>
      <w:pPr>
        <w:pStyle w:val="TextBody"/>
        <w:bidi w:val="0"/>
        <w:spacing w:before="240" w:after="283"/>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WITNESS WHEREOF, I hereby certify that the foregoing Amendment was duly adopted by the Board of Directors of NextDecade Corporation on April 13, 2026.</w:t>
      </w:r>
    </w:p>
    <w:tbl>
      <w:tblPr>
        <w:tblW w:w="5744" w:type="dxa"/>
        <w:jc w:val="left"/>
        <w:tblInd w:w="0" w:type="dxa"/>
        <w:tblLayout w:type="fixed"/>
        <w:tblCellMar>
          <w:top w:w="28" w:type="dxa"/>
          <w:left w:w="28" w:type="dxa"/>
          <w:bottom w:w="28" w:type="dxa"/>
          <w:right w:w="28" w:type="dxa"/>
        </w:tblCellMar>
      </w:tblPr>
      <w:tblGrid>
        <w:gridCol w:w="271"/>
        <w:gridCol w:w="240"/>
        <w:gridCol w:w="240"/>
        <w:gridCol w:w="240"/>
        <w:gridCol w:w="240"/>
        <w:gridCol w:w="240"/>
        <w:gridCol w:w="1148"/>
        <w:gridCol w:w="1148"/>
        <w:gridCol w:w="1153"/>
        <w:gridCol w:w="240"/>
        <w:gridCol w:w="240"/>
        <w:gridCol w:w="344"/>
      </w:tblGrid>
      <w:tr>
        <w:trPr/>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744"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NEXTDECADE CORPORATION</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Vera de Gyarfas</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Vera de Gyarfas</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12"/>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          *          *          *</w:t>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WITNESS WHEREOF, I hereby certify that the foregoing Amendment was approved by the stockholders of NextDecade Corporation on June 3, 2026.</w:t>
      </w:r>
    </w:p>
    <w:tbl>
      <w:tblPr>
        <w:tblW w:w="5744" w:type="dxa"/>
        <w:jc w:val="left"/>
        <w:tblInd w:w="0" w:type="dxa"/>
        <w:tblLayout w:type="fixed"/>
        <w:tblCellMar>
          <w:top w:w="28" w:type="dxa"/>
          <w:left w:w="28" w:type="dxa"/>
          <w:bottom w:w="28" w:type="dxa"/>
          <w:right w:w="28" w:type="dxa"/>
        </w:tblCellMar>
      </w:tblPr>
      <w:tblGrid>
        <w:gridCol w:w="271"/>
        <w:gridCol w:w="240"/>
        <w:gridCol w:w="240"/>
        <w:gridCol w:w="240"/>
        <w:gridCol w:w="240"/>
        <w:gridCol w:w="240"/>
        <w:gridCol w:w="1148"/>
        <w:gridCol w:w="1148"/>
        <w:gridCol w:w="1153"/>
        <w:gridCol w:w="240"/>
        <w:gridCol w:w="240"/>
        <w:gridCol w:w="344"/>
      </w:tblGrid>
      <w:tr>
        <w:trPr/>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744"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NEXTDECADE CORPORATION</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Vera de Gyarfas</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Vera de Gyarfas</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1612</Words>
  <Characters>8995</Characters>
  <CharactersWithSpaces>10492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